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3C0CF">
      <w:pPr>
        <w:spacing w:line="800" w:lineRule="exact"/>
        <w:jc w:val="center"/>
        <w:rPr>
          <w:rFonts w:ascii="方正小标宋_GBK" w:hAnsi="方正小标宋_GBK" w:eastAsia="方正小标宋_GBK" w:cs="方正小标宋_GBK"/>
          <w:b/>
          <w:bCs/>
          <w:kern w:val="44"/>
          <w:sz w:val="36"/>
          <w:szCs w:val="36"/>
          <w:lang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44"/>
          <w:sz w:val="36"/>
          <w:szCs w:val="36"/>
          <w:lang w:bidi="ar"/>
        </w:rPr>
        <w:t>关于组织开展2026年“读懂中国”活动的通知</w:t>
      </w:r>
    </w:p>
    <w:p w14:paraId="123CD1C8">
      <w:pPr>
        <w:widowControl/>
        <w:jc w:val="left"/>
        <w:rPr>
          <w:rFonts w:ascii="方正仿宋_GBK" w:hAnsi="方正仿宋_GBK" w:eastAsia="方正仿宋_GBK" w:cs="方正仿宋_GBK"/>
          <w:kern w:val="0"/>
          <w:sz w:val="32"/>
          <w:szCs w:val="32"/>
          <w:lang w:bidi="ar"/>
        </w:rPr>
      </w:pPr>
    </w:p>
    <w:p w14:paraId="1EB8E77C">
      <w:pPr>
        <w:pStyle w:val="5"/>
        <w:widowControl/>
        <w:spacing w:beforeAutospacing="0" w:afterAutospacing="0"/>
        <w:jc w:val="both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 w14:paraId="4A3FD5FF">
      <w:pPr>
        <w:pStyle w:val="5"/>
        <w:widowControl/>
        <w:spacing w:beforeAutospacing="0" w:afterAutospacing="0"/>
        <w:jc w:val="both"/>
        <w:rPr>
          <w:rFonts w:eastAsia="黑体"/>
          <w:sz w:val="32"/>
        </w:rPr>
      </w:pPr>
    </w:p>
    <w:p w14:paraId="0E504F8D">
      <w:pPr>
        <w:spacing w:line="800" w:lineRule="exact"/>
        <w:jc w:val="center"/>
        <w:rPr>
          <w:rFonts w:ascii="华文中宋" w:hAnsi="华文中宋" w:eastAsia="华文中宋"/>
          <w:b/>
          <w:sz w:val="44"/>
          <w:szCs w:val="36"/>
        </w:rPr>
      </w:pPr>
      <w:r>
        <w:rPr>
          <w:rFonts w:hint="eastAsia" w:ascii="华文中宋" w:hAnsi="华文中宋" w:eastAsia="华文中宋" w:cs="方正小标宋简体"/>
          <w:b/>
          <w:sz w:val="44"/>
          <w:szCs w:val="36"/>
        </w:rPr>
        <w:t>“</w:t>
      </w:r>
      <w:r>
        <w:rPr>
          <w:rFonts w:hint="eastAsia" w:ascii="华文中宋" w:hAnsi="华文中宋" w:eastAsia="华文中宋"/>
          <w:b/>
          <w:sz w:val="44"/>
          <w:szCs w:val="36"/>
        </w:rPr>
        <w:t>读懂中国</w:t>
      </w:r>
      <w:r>
        <w:rPr>
          <w:rFonts w:hint="eastAsia" w:ascii="华文中宋" w:hAnsi="华文中宋" w:eastAsia="华文中宋" w:cs="方正小标宋简体"/>
          <w:b/>
          <w:sz w:val="44"/>
          <w:szCs w:val="36"/>
        </w:rPr>
        <w:t>”</w:t>
      </w:r>
      <w:r>
        <w:rPr>
          <w:rFonts w:hint="eastAsia" w:ascii="华文中宋" w:hAnsi="华文中宋" w:eastAsia="华文中宋"/>
          <w:b/>
          <w:sz w:val="44"/>
          <w:szCs w:val="36"/>
        </w:rPr>
        <w:t>活动作品要求</w:t>
      </w:r>
    </w:p>
    <w:p w14:paraId="133C5B61">
      <w:pPr>
        <w:pStyle w:val="5"/>
        <w:widowControl/>
        <w:spacing w:beforeAutospacing="0" w:afterAutospacing="0"/>
        <w:jc w:val="both"/>
        <w:rPr>
          <w:rFonts w:eastAsia="黑体"/>
          <w:sz w:val="32"/>
        </w:rPr>
      </w:pPr>
    </w:p>
    <w:p w14:paraId="459FA42D">
      <w:pPr>
        <w:spacing w:after="120"/>
        <w:ind w:firstLine="643" w:firstLineChars="200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sz w:val="32"/>
          <w:szCs w:val="32"/>
        </w:rPr>
        <w:t>一、内容要求</w:t>
      </w:r>
    </w:p>
    <w:p w14:paraId="4F99296D">
      <w:pPr>
        <w:pStyle w:val="5"/>
        <w:spacing w:beforeAutospacing="0" w:afterAutospacing="0" w:line="560" w:lineRule="exact"/>
        <w:ind w:firstLine="643" w:firstLineChars="200"/>
        <w:jc w:val="both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（一）紧扣主题</w:t>
      </w:r>
    </w:p>
    <w:p w14:paraId="1E802DBB">
      <w:pPr>
        <w:pStyle w:val="4"/>
        <w:widowControl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要紧扣“从长征精神中读懂中国”，挖掘、整理、展现“五老”在新中国成立初期百废待兴时扎根岗位、攻坚克难，改革开放浪潮中勇立潮头、奋勇争先，强国建设进程中实干笃行、薪火相传的感人事迹和人生体验，以及对伟大长征精神的深刻感悟，对青年学生勇担时代使命、投身强国建设的殷切嘱托。</w:t>
      </w:r>
    </w:p>
    <w:p w14:paraId="649DEE7B">
      <w:pPr>
        <w:pStyle w:val="5"/>
        <w:spacing w:beforeAutospacing="0" w:afterAutospacing="0" w:line="560" w:lineRule="exact"/>
        <w:ind w:firstLine="643" w:firstLineChars="200"/>
        <w:jc w:val="both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（二）主旨明确</w:t>
      </w:r>
    </w:p>
    <w:p w14:paraId="119559F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要从小处切入，以小见大，突出“五老”人物事迹，注重发现“最伟大的小事、最平凡的奇迹、最日常的奋斗和最具体的全面”，强调故事性和细节描述，以“五老”的个体经历反映出中国特色社会主义事业取得的伟大成就，切忌写成或拍摄成“五老”个人简历。</w:t>
      </w:r>
    </w:p>
    <w:p w14:paraId="563E1C99">
      <w:pPr>
        <w:pStyle w:val="5"/>
        <w:spacing w:beforeAutospacing="0" w:afterAutospacing="0" w:line="560" w:lineRule="exact"/>
        <w:ind w:firstLine="643" w:firstLineChars="200"/>
        <w:jc w:val="both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（三）内容真实</w:t>
      </w:r>
    </w:p>
    <w:p w14:paraId="26C3A73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记录的“五老”个人经历须真实可查、有相关资料证明。其中，征文、微视频被访谈人物在作品制作时仍健在。</w:t>
      </w:r>
    </w:p>
    <w:p w14:paraId="775A88CC">
      <w:pPr>
        <w:spacing w:after="120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二、其他要求</w:t>
      </w:r>
    </w:p>
    <w:p w14:paraId="2E45C4EE">
      <w:pPr>
        <w:pStyle w:val="5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（一）征文作品</w:t>
      </w:r>
    </w:p>
    <w:p w14:paraId="5B7E97C4">
      <w:pPr>
        <w:spacing w:line="560" w:lineRule="exact"/>
        <w:ind w:firstLine="643" w:firstLineChars="200"/>
        <w:rPr>
          <w:rFonts w:hint="eastAsia" w:ascii="仿宋_GB2312" w:hAnsi="微软雅黑" w:eastAsia="仿宋_GB2312" w:cs="Times New Roman"/>
          <w:kern w:val="0"/>
          <w:sz w:val="32"/>
          <w:szCs w:val="32"/>
        </w:rPr>
      </w:pPr>
      <w:r>
        <w:rPr>
          <w:rFonts w:hint="eastAsia" w:ascii="仿宋_GB2312" w:hAnsi="微软雅黑" w:eastAsia="仿宋_GB2312" w:cs="Times New Roman"/>
          <w:b/>
          <w:bCs/>
          <w:kern w:val="0"/>
          <w:sz w:val="32"/>
          <w:szCs w:val="32"/>
        </w:rPr>
        <w:t>1.文体要求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</w:rPr>
        <w:t>：记叙文</w:t>
      </w:r>
    </w:p>
    <w:p w14:paraId="7B708A86">
      <w:pPr>
        <w:spacing w:line="560" w:lineRule="exact"/>
        <w:ind w:firstLine="643" w:firstLineChars="200"/>
        <w:rPr>
          <w:rFonts w:hint="eastAsia" w:ascii="仿宋_GB2312" w:hAnsi="微软雅黑" w:eastAsia="仿宋_GB2312" w:cs="Times New Roman"/>
          <w:kern w:val="0"/>
          <w:sz w:val="32"/>
          <w:szCs w:val="32"/>
        </w:rPr>
      </w:pPr>
      <w:r>
        <w:rPr>
          <w:rFonts w:hint="eastAsia" w:ascii="仿宋_GB2312" w:hAnsi="微软雅黑" w:eastAsia="仿宋_GB2312" w:cs="Times New Roman"/>
          <w:b/>
          <w:bCs/>
          <w:kern w:val="0"/>
          <w:sz w:val="32"/>
          <w:szCs w:val="32"/>
        </w:rPr>
        <w:t>2.语言要求：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</w:rPr>
        <w:t>通顺流畅、表达清晰、可读性强</w:t>
      </w:r>
    </w:p>
    <w:p w14:paraId="4C976F86">
      <w:pPr>
        <w:spacing w:line="560" w:lineRule="exact"/>
        <w:ind w:firstLine="643" w:firstLineChars="200"/>
        <w:rPr>
          <w:rFonts w:hint="eastAsia" w:ascii="仿宋_GB2312" w:hAnsi="微软雅黑" w:eastAsia="仿宋_GB2312" w:cs="Times New Roman"/>
          <w:kern w:val="0"/>
          <w:sz w:val="32"/>
          <w:szCs w:val="32"/>
        </w:rPr>
      </w:pPr>
      <w:r>
        <w:rPr>
          <w:rFonts w:hint="eastAsia" w:ascii="仿宋_GB2312" w:hAnsi="微软雅黑" w:eastAsia="仿宋_GB2312" w:cs="Times New Roman"/>
          <w:b/>
          <w:bCs/>
          <w:kern w:val="0"/>
          <w:sz w:val="32"/>
          <w:szCs w:val="32"/>
        </w:rPr>
        <w:t>3.字数要求：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</w:rPr>
        <w:t>不超过2000字（不含访谈人物简介）</w:t>
      </w:r>
    </w:p>
    <w:p w14:paraId="307999CC">
      <w:pPr>
        <w:pStyle w:val="5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（二）微视频作品</w:t>
      </w:r>
    </w:p>
    <w:p w14:paraId="1E58CC52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1.形态风格</w:t>
      </w:r>
    </w:p>
    <w:p w14:paraId="13507588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节目形态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：专题片、微纪录</w:t>
      </w:r>
    </w:p>
    <w:p w14:paraId="61E04BF2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视频格式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：MP4（不得低于15M码流）</w:t>
      </w:r>
    </w:p>
    <w:p w14:paraId="33495AF2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视频标准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：1920×1080（无损高清格式）</w:t>
      </w:r>
    </w:p>
    <w:p w14:paraId="43706236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节目风格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：用艺术手法拍摄制作校园专题片、微纪录等，画面构图完整清晰、镜头有设计感、拍摄手法丰富，故事内容真实有效。</w:t>
      </w:r>
    </w:p>
    <w:p w14:paraId="69D2235D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时间要求：</w:t>
      </w:r>
      <w:r>
        <w:rPr>
          <w:rFonts w:hint="eastAsia" w:ascii="仿宋_GB2312" w:hAnsi="方正仿宋_GBK" w:eastAsia="仿宋_GB2312" w:cs="方正仿宋_GBK"/>
          <w:bCs/>
          <w:kern w:val="0"/>
          <w:sz w:val="32"/>
          <w:szCs w:val="32"/>
        </w:rPr>
        <w:t>5分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钟</w:t>
      </w:r>
    </w:p>
    <w:p w14:paraId="4430E805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2.拍摄要求</w:t>
      </w:r>
    </w:p>
    <w:p w14:paraId="105E587F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应为受访者配戴无线话筒进行收音，切忌直接使用摄像机进行录音。</w:t>
      </w:r>
    </w:p>
    <w:p w14:paraId="53F1B5FC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摄像机使用前应调整白平衡，若是室外拍摄，每1-2小时应进行一次白平衡调整。</w:t>
      </w:r>
    </w:p>
    <w:p w14:paraId="75499A6A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拍摄过程中，保持机身水平，画面构图平衡稳定，推、拉、摇、移镜头要稳，速度匀速，跟上焦点；考虑不同景别的搭配，尽量避免画面中出现高光点，以免因画面反差较大，影响效果；拍摄有特征的全景镜头，能清晰辨认出事件发生的地点；尽量多拍摄视频素材，拍摄时长要远远多于实际用时长。</w:t>
      </w:r>
    </w:p>
    <w:p w14:paraId="601F933E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拍摄结束时，应多录几秒再停机，为剪辑留出余地。</w:t>
      </w:r>
    </w:p>
    <w:p w14:paraId="5D3C408C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  <w:t>3.解说要求</w:t>
      </w:r>
    </w:p>
    <w:p w14:paraId="4474552C">
      <w:pPr>
        <w:spacing w:line="560" w:lineRule="exact"/>
        <w:ind w:firstLine="640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用直白的语言文字叙述；有起承转合，设置高潮或合理安排突出主题；贴近观众的心理，使其有身临其境的感觉。忌宣传片式解说词。</w:t>
      </w:r>
    </w:p>
    <w:p w14:paraId="5C4E00CD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  <w:t>4.技术要求</w:t>
      </w:r>
    </w:p>
    <w:p w14:paraId="6FA207B8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画面要求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：统一为全高清（1920×1080）16:9制式，上下不要有黑遮幅；注意保持清晰、干净；有字幕。</w:t>
      </w:r>
    </w:p>
    <w:p w14:paraId="17377AAC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音频要求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：节目声道分为1声道（解说、同期声），2声道（音乐、音效、动效）；最高电频不能超过“-8dB（VU）”，最低电频不能低于“-12dB（VU）”。</w:t>
      </w:r>
    </w:p>
    <w:p w14:paraId="661A97E3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字幕要求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：采访、同期声均须加配中文字幕。用字准确无误，不使用繁体字、异体字、错别字；字幕位置居中，字体字号为黑体60号，字边要加阴影；字幕应与画面有良好的同步性。</w:t>
      </w:r>
    </w:p>
    <w:p w14:paraId="327473C4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资料运用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：片中一旦涉及到非本校拍摄、不属于拍摄团队创作的视频素材，一律要在画面右上角注明“资料”字样。“资料”字体字号为黑体65号，字边要加阴影。</w:t>
      </w:r>
    </w:p>
    <w:p w14:paraId="3620B63A">
      <w:pPr>
        <w:pStyle w:val="5"/>
        <w:spacing w:beforeAutospacing="0" w:afterAutospacing="0" w:line="560" w:lineRule="exact"/>
        <w:ind w:firstLine="640" w:firstLineChars="200"/>
        <w:jc w:val="both"/>
        <w:rPr>
          <w:rFonts w:hint="eastAsia"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（三）舞台剧</w:t>
      </w:r>
    </w:p>
    <w:p w14:paraId="2FAB0E0B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  <w:t>1.形态风格</w:t>
      </w:r>
    </w:p>
    <w:p w14:paraId="701101F1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Cs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sz w:val="32"/>
          <w:szCs w:val="32"/>
        </w:rPr>
        <w:t>节目形态：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舞台剧</w:t>
      </w:r>
      <w:r>
        <w:rPr>
          <w:rFonts w:hint="eastAsia" w:ascii="仿宋_GB2312" w:hAnsi="方正仿宋_GBK" w:eastAsia="仿宋_GB2312" w:cs="方正仿宋_GBK"/>
          <w:bCs/>
          <w:sz w:val="32"/>
          <w:szCs w:val="32"/>
        </w:rPr>
        <w:t>。根据“五老”采访素材改编舞台剧，通过切换台进行多机位录制，剪辑成视频。</w:t>
      </w:r>
    </w:p>
    <w:p w14:paraId="7A3713FE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sz w:val="32"/>
          <w:szCs w:val="32"/>
        </w:rPr>
        <w:t>视频格式：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MP4（不得低于 15M 码流）</w:t>
      </w:r>
    </w:p>
    <w:p w14:paraId="22F00A68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sz w:val="32"/>
          <w:szCs w:val="32"/>
        </w:rPr>
        <w:t>视频标准：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1920×1080（无损高清格式）</w:t>
      </w:r>
    </w:p>
    <w:p w14:paraId="5493C65A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sz w:val="32"/>
          <w:szCs w:val="32"/>
        </w:rPr>
        <w:t>节目风格：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用艺术手法拍摄、制作校园舞台剧，画面构图完整清晰、镜头有设计感、拍摄手法丰富，故事内容真实有效。</w:t>
      </w:r>
    </w:p>
    <w:p w14:paraId="2BB88734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sz w:val="32"/>
          <w:szCs w:val="32"/>
        </w:rPr>
        <w:t>时长要求：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不超过10分钟</w:t>
      </w:r>
    </w:p>
    <w:p w14:paraId="10F449A3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  <w:t>2.技术要求</w:t>
      </w:r>
    </w:p>
    <w:p w14:paraId="77AA14AF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b/>
          <w:bCs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画面要求：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统一为全高清（1920×1080）16:9制式，上下不要有黑遮幅；注意保持清晰、干净；有字幕（黑体居中）。</w:t>
      </w:r>
    </w:p>
    <w:p w14:paraId="2D292993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音频要求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：节目声道分为1声道（解说、同期声），2声道（音乐、音效、动效）；最高电频不能超过“-8dB（VU）”，最低电频不能低于“-12dB（VU）”。</w:t>
      </w:r>
    </w:p>
    <w:p w14:paraId="35A5B4A5">
      <w:pPr>
        <w:spacing w:line="560" w:lineRule="exact"/>
        <w:ind w:firstLine="643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/>
          <w:kern w:val="0"/>
          <w:sz w:val="32"/>
          <w:szCs w:val="32"/>
        </w:rPr>
        <w:t>字幕要求：</w:t>
      </w:r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>对白、旁白和解说等均须加配中文字幕。用字准确无误，不使用繁体字、异体字、错别字；字幕位置居中，字体字号为黑体60号，字边要加阴影；字幕应与画面有良好的同步性。</w:t>
      </w:r>
    </w:p>
    <w:p w14:paraId="728DEA2B">
      <w:pPr>
        <w:pStyle w:val="5"/>
        <w:widowControl/>
        <w:spacing w:beforeAutospacing="0" w:afterAutospacing="0"/>
        <w:jc w:val="both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br w:type="page" w:clear="all"/>
      </w:r>
    </w:p>
    <w:p w14:paraId="79707301">
      <w:pPr>
        <w:pStyle w:val="5"/>
        <w:widowControl/>
        <w:spacing w:beforeAutospacing="0" w:afterAutospacing="0"/>
        <w:jc w:val="both"/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 w14:paraId="50F8019B">
      <w:pPr>
        <w:spacing w:line="800" w:lineRule="exact"/>
        <w:jc w:val="center"/>
        <w:rPr>
          <w:rFonts w:ascii="华文中宋" w:hAnsi="华文中宋" w:eastAsia="华文中宋"/>
          <w:b/>
          <w:sz w:val="44"/>
          <w:szCs w:val="36"/>
        </w:rPr>
      </w:pPr>
      <w:r>
        <w:rPr>
          <w:rFonts w:hint="eastAsia" w:ascii="华文中宋" w:hAnsi="华文中宋" w:eastAsia="华文中宋" w:cs="方正小标宋简体"/>
          <w:b/>
          <w:sz w:val="44"/>
          <w:szCs w:val="36"/>
        </w:rPr>
        <w:t>“</w:t>
      </w:r>
      <w:r>
        <w:rPr>
          <w:rFonts w:ascii="华文中宋" w:hAnsi="华文中宋" w:eastAsia="华文中宋"/>
          <w:b/>
          <w:sz w:val="44"/>
          <w:szCs w:val="36"/>
        </w:rPr>
        <w:t>读懂中国</w:t>
      </w:r>
      <w:r>
        <w:rPr>
          <w:rFonts w:hint="eastAsia" w:ascii="华文中宋" w:hAnsi="华文中宋" w:eastAsia="华文中宋" w:cs="方正小标宋简体"/>
          <w:b/>
          <w:sz w:val="44"/>
          <w:szCs w:val="36"/>
        </w:rPr>
        <w:t>”</w:t>
      </w:r>
      <w:r>
        <w:rPr>
          <w:rFonts w:ascii="华文中宋" w:hAnsi="华文中宋" w:eastAsia="华文中宋"/>
          <w:b/>
          <w:sz w:val="44"/>
          <w:szCs w:val="36"/>
        </w:rPr>
        <w:t>活动作品评审参考标准</w:t>
      </w:r>
    </w:p>
    <w:p w14:paraId="341B792A">
      <w:pPr>
        <w:spacing w:line="800" w:lineRule="exact"/>
        <w:jc w:val="center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 w14:paraId="4579C827">
      <w:pPr>
        <w:spacing w:after="12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一、征文评审标准（总分100分）</w:t>
      </w:r>
    </w:p>
    <w:tbl>
      <w:tblPr>
        <w:tblStyle w:val="6"/>
        <w:tblW w:w="9519" w:type="dxa"/>
        <w:jc w:val="center"/>
        <w:tblCaption w:val="Table1my3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9"/>
        <w:gridCol w:w="6330"/>
      </w:tblGrid>
      <w:tr w14:paraId="1EAE9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  <w:jc w:val="center"/>
        </w:trPr>
        <w:tc>
          <w:tcPr>
            <w:tcW w:w="3189" w:type="dxa"/>
            <w:vAlign w:val="center"/>
          </w:tcPr>
          <w:p w14:paraId="546C8C96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紧扣主题、立意明确（30分）</w:t>
            </w:r>
          </w:p>
        </w:tc>
        <w:tc>
          <w:tcPr>
            <w:tcW w:w="6330" w:type="dxa"/>
            <w:vAlign w:val="center"/>
          </w:tcPr>
          <w:p w14:paraId="743350B4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记录、展示“五老”在新中国成立初期百废待兴时扎根岗位、攻坚克难，改革开放浪潮中勇立潮头、奋勇争先，强国建设进程中实干笃行、薪火相传的感人事迹和人生体验，以及对伟大长征精神的深刻感悟，对青年学生勇担时代使命、投身强国建设的殷切嘱托。若偏题酌情扣分。</w:t>
            </w:r>
          </w:p>
        </w:tc>
      </w:tr>
      <w:tr w14:paraId="0BCAA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  <w:jc w:val="center"/>
        </w:trPr>
        <w:tc>
          <w:tcPr>
            <w:tcW w:w="3189" w:type="dxa"/>
            <w:vAlign w:val="center"/>
          </w:tcPr>
          <w:p w14:paraId="436BF8B5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内容详实、表述得当</w:t>
            </w:r>
          </w:p>
          <w:p w14:paraId="4FE6C63D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330" w:type="dxa"/>
            <w:vAlign w:val="center"/>
          </w:tcPr>
          <w:p w14:paraId="7B6435F3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突出“五老”人物事迹，强调故事性和细节描述，以“五老”的个体经历反映出中国特色社会主义事业取得的伟大成就，切忌写成“五老”个人简历。根据文章实际情况酌情赋分。</w:t>
            </w:r>
          </w:p>
        </w:tc>
      </w:tr>
      <w:tr w14:paraId="5127E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3189" w:type="dxa"/>
            <w:vAlign w:val="center"/>
          </w:tcPr>
          <w:p w14:paraId="310FA1CE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语言优美、文笔流畅</w:t>
            </w:r>
          </w:p>
          <w:p w14:paraId="5F481B10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330" w:type="dxa"/>
            <w:vAlign w:val="center"/>
          </w:tcPr>
          <w:p w14:paraId="26362B28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根据文章实际情况酌情赋分。</w:t>
            </w:r>
          </w:p>
        </w:tc>
      </w:tr>
      <w:tr w14:paraId="1FF3F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3189" w:type="dxa"/>
            <w:vAlign w:val="center"/>
          </w:tcPr>
          <w:p w14:paraId="66AA6D3D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情感真实、表达细腻</w:t>
            </w:r>
          </w:p>
          <w:p w14:paraId="2388D8F6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330" w:type="dxa"/>
            <w:vAlign w:val="center"/>
          </w:tcPr>
          <w:p w14:paraId="20771C9A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根据文章实际情况酌情赋分。</w:t>
            </w:r>
          </w:p>
        </w:tc>
      </w:tr>
      <w:tr w14:paraId="5B7E59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3189" w:type="dxa"/>
            <w:vAlign w:val="center"/>
          </w:tcPr>
          <w:p w14:paraId="49329B61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文体合规、用字规范</w:t>
            </w:r>
          </w:p>
          <w:p w14:paraId="62AD4D4E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（10分）</w:t>
            </w:r>
          </w:p>
        </w:tc>
        <w:tc>
          <w:tcPr>
            <w:tcW w:w="6330" w:type="dxa"/>
            <w:vAlign w:val="center"/>
          </w:tcPr>
          <w:p w14:paraId="2A3CFFE9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文体为记叙文，字数不超过2000字。文体有误或字数超过2400字即此项为0分，字数在2001-2400字之间或出现不规范用字的酌情扣分。</w:t>
            </w:r>
          </w:p>
        </w:tc>
      </w:tr>
    </w:tbl>
    <w:p w14:paraId="32A989BA">
      <w:pPr>
        <w:spacing w:after="12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二、微视频评审标准（总分100分）</w:t>
      </w:r>
    </w:p>
    <w:tbl>
      <w:tblPr>
        <w:tblStyle w:val="6"/>
        <w:tblW w:w="9598" w:type="dxa"/>
        <w:jc w:val="center"/>
        <w:tblCaption w:val="Table2kb1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6621"/>
      </w:tblGrid>
      <w:tr w14:paraId="747F31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77" w:type="dxa"/>
            <w:vAlign w:val="center"/>
          </w:tcPr>
          <w:p w14:paraId="3172C84C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主题表达</w:t>
            </w:r>
          </w:p>
          <w:p w14:paraId="14F73F47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（30分）</w:t>
            </w:r>
          </w:p>
        </w:tc>
        <w:tc>
          <w:tcPr>
            <w:tcW w:w="6621" w:type="dxa"/>
            <w:vAlign w:val="center"/>
          </w:tcPr>
          <w:p w14:paraId="2EE69C1E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记录、展示“五老”在新中国成立初期百废待兴时扎根岗位、攻坚克难，改革开放浪潮中勇立潮头、奋勇争先，强国建设进程中实干笃行、薪火相传的感人事迹和人生体验，以及对伟大长征精神的深刻感悟，对青年学生勇担时代使命、投身强国建设的殷切嘱托。突出“五老”人物事迹，强调故事性和细节描述，以“五老”的个体经历反映出中国特色社会主义事业取得的伟大成就。切忌拍摄成“五老”个人简历。根据片子实际情况酌情赋分。</w:t>
            </w:r>
          </w:p>
        </w:tc>
      </w:tr>
      <w:tr w14:paraId="6B41A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77" w:type="dxa"/>
            <w:vAlign w:val="center"/>
          </w:tcPr>
          <w:p w14:paraId="787DDF2E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结构设置</w:t>
            </w:r>
          </w:p>
          <w:p w14:paraId="6D29E4C9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621" w:type="dxa"/>
            <w:vAlign w:val="center"/>
          </w:tcPr>
          <w:p w14:paraId="0BCE35C9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结构明确、逻辑清晰，悬念设置巧妙且自然，能够突出主题、吸引观众。根据片子实际情况酌情赋分。</w:t>
            </w:r>
          </w:p>
        </w:tc>
      </w:tr>
      <w:tr w14:paraId="1FCF1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77" w:type="dxa"/>
            <w:vAlign w:val="center"/>
          </w:tcPr>
          <w:p w14:paraId="29FB5661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细节和节奏</w:t>
            </w:r>
          </w:p>
          <w:p w14:paraId="09B23BA2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621" w:type="dxa"/>
            <w:vAlign w:val="center"/>
          </w:tcPr>
          <w:p w14:paraId="4F4A9E0E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把握好叙事节奏和剪辑节奏的和谐统一，达到疏密相间、张弛有度、跌宕起伏。细节运用真实生动，有较强的艺术感染力；画面构图、特效、字幕、片头片尾、转场等包装处理得当。根据片子实际情况酌情赋分。</w:t>
            </w:r>
          </w:p>
        </w:tc>
      </w:tr>
      <w:tr w14:paraId="5DC0F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77" w:type="dxa"/>
            <w:vAlign w:val="center"/>
          </w:tcPr>
          <w:p w14:paraId="518A85D1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电视语言表达</w:t>
            </w:r>
          </w:p>
          <w:p w14:paraId="2FA1F935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621" w:type="dxa"/>
            <w:vAlign w:val="center"/>
          </w:tcPr>
          <w:p w14:paraId="5949F5C4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画面语言生动且富有特色，能够吸引观众眼球、表达出拍摄主体的内在情绪、心理及表现行为等；解说词为画面服务，且起到补充和升华主题的作用；现场采访出现时间合适、突出故事细节、思想表达传递，且有对主题阐释等作用，能够很好地渲染影片；字幕语言能够调动观众兴趣，令人印象深刻。根据片子实际情况酌情赋分，电视语言单一，无法讲清事件，无法使观众明白要表达的内容和思想感情的酌情扣分。</w:t>
            </w:r>
          </w:p>
        </w:tc>
      </w:tr>
      <w:tr w14:paraId="143F2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77" w:type="dxa"/>
            <w:vAlign w:val="center"/>
          </w:tcPr>
          <w:p w14:paraId="67282560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剪辑和时长</w:t>
            </w:r>
          </w:p>
          <w:p w14:paraId="7EF4B016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（10分）</w:t>
            </w:r>
          </w:p>
        </w:tc>
        <w:tc>
          <w:tcPr>
            <w:tcW w:w="6621" w:type="dxa"/>
            <w:vAlign w:val="center"/>
          </w:tcPr>
          <w:p w14:paraId="063FD4BF">
            <w:pPr>
              <w:rPr>
                <w:rFonts w:ascii="方正仿宋_GBK" w:hAnsi="方正仿宋_GBK" w:eastAsia="方正仿宋_GBK" w:cs="方正仿宋_GBK"/>
                <w:spacing w:val="-3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提前设计好影片结构；镜头衔接自然流畅，起承转合符合整体结构设计和剪辑节奏，有自己的风格特色，思想表达独树一格。根据片子实际情况酌情赋分，如出现跳帧、黑屏等重大技术失误，或时长超过6分钟、不足4分钟的，该项即为0分。根据片子实际情况酌情赋分。</w:t>
            </w:r>
          </w:p>
        </w:tc>
      </w:tr>
    </w:tbl>
    <w:p w14:paraId="397D650B">
      <w:pPr>
        <w:spacing w:line="100" w:lineRule="exact"/>
        <w:rPr>
          <w:rFonts w:ascii="方正仿宋_GBK" w:hAnsi="方正仿宋_GBK" w:eastAsia="方正仿宋_GBK" w:cs="方正仿宋_GBK"/>
          <w:bCs/>
          <w:sz w:val="32"/>
          <w:szCs w:val="32"/>
        </w:rPr>
      </w:pPr>
    </w:p>
    <w:p w14:paraId="10C010B7">
      <w:pPr>
        <w:spacing w:after="12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三、舞台剧评审标准（总分100分）</w:t>
      </w:r>
    </w:p>
    <w:tbl>
      <w:tblPr>
        <w:tblStyle w:val="6"/>
        <w:tblW w:w="9640" w:type="dxa"/>
        <w:tblCaption w:val="Table1rr0"/>
        <w:tblInd w:w="-43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6"/>
        <w:gridCol w:w="6804"/>
      </w:tblGrid>
      <w:tr w14:paraId="61583E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DD067D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主题表达</w:t>
            </w:r>
          </w:p>
          <w:p w14:paraId="5DAACD23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（30分）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6CF5FC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记录、展示“五老”在新中国成立初期百废待兴时扎根岗位、攻坚克难，改革开放浪潮中勇立潮头、奋勇争先，强国建设进程中实干笃行、薪火相传的感人事迹和人生体验，以及对伟大长征精神的深刻感悟，对青年学生勇担时代使命、投身强国建设的殷切嘱托。主题鲜明，贴近生活，有深度，引起观众共鸣。若偏题酌情扣分。</w:t>
            </w:r>
          </w:p>
        </w:tc>
      </w:tr>
      <w:tr w14:paraId="4135B7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5D085D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内容设置</w:t>
            </w:r>
          </w:p>
          <w:p w14:paraId="47DD021B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D44E08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基于人物事迹，从小点切入，以小见大；剧情编排合理，情节跌宕起伏，矛盾冲突明显；幕与幕之间转换适当。根据剧情设计酌情赋分。</w:t>
            </w:r>
          </w:p>
        </w:tc>
      </w:tr>
      <w:tr w14:paraId="5CDAE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2FE80D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舞台表演</w:t>
            </w:r>
          </w:p>
          <w:p w14:paraId="322B2FD1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A1546D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突出艺术设计与表现力，主题表现清晰，人物性格表现充分，动作得体到位，情感细腻有共鸣，团体合作默契。根据表演酌情赋分。</w:t>
            </w:r>
          </w:p>
        </w:tc>
      </w:tr>
      <w:tr w14:paraId="5A356A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7EE9C9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舞台呈现</w:t>
            </w:r>
          </w:p>
          <w:p w14:paraId="520F9DD0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（20分）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958670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服装符合人物身份特点、合体大方，饰物搭配得当，辅助表现人物性格、剧情效果等；场景布置及道具安排准确反映剧目表达内容及环境。根据视觉效果酌情赋分。</w:t>
            </w:r>
          </w:p>
        </w:tc>
      </w:tr>
      <w:tr w14:paraId="1B5F14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BF3D5A">
            <w:pPr>
              <w:jc w:val="center"/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视频录制</w:t>
            </w:r>
          </w:p>
          <w:p w14:paraId="552A350E">
            <w:pPr>
              <w:jc w:val="center"/>
              <w:rPr>
                <w:rFonts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b/>
                <w:sz w:val="32"/>
                <w:szCs w:val="32"/>
              </w:rPr>
              <w:t>（10分）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040FCD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通过切换台进行多机位录制，有不同景别的搭配（远景、全景、中景、近景、特写）；配戴无线话筒对演员进行收音，且声音清晰；背景音乐符合剧情及气氛需要。根据视频呈现酌情赋分。</w:t>
            </w:r>
          </w:p>
        </w:tc>
      </w:tr>
    </w:tbl>
    <w:p w14:paraId="34EDD9C8">
      <w:pPr>
        <w:rPr>
          <w:rFonts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1701" w:footer="1588" w:gutter="0"/>
          <w:cols w:space="720" w:num="1"/>
          <w:docGrid w:linePitch="312" w:charSpace="0"/>
        </w:sectPr>
      </w:pPr>
    </w:p>
    <w:p w14:paraId="2552E319">
      <w:pPr>
        <w:pStyle w:val="5"/>
        <w:widowControl/>
        <w:spacing w:beforeAutospacing="0" w:afterAutospacing="0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 w14:paraId="19BB0AF3">
      <w:pPr>
        <w:spacing w:line="800" w:lineRule="exact"/>
        <w:jc w:val="center"/>
        <w:rPr>
          <w:rFonts w:ascii="华文中宋" w:hAnsi="华文中宋" w:eastAsia="华文中宋"/>
          <w:b/>
          <w:sz w:val="44"/>
          <w:szCs w:val="36"/>
        </w:rPr>
      </w:pPr>
      <w:r>
        <w:rPr>
          <w:rFonts w:hint="eastAsia" w:ascii="华文中宋" w:hAnsi="华文中宋" w:eastAsia="华文中宋" w:cs="方正小标宋简体"/>
          <w:b/>
          <w:sz w:val="44"/>
          <w:szCs w:val="36"/>
        </w:rPr>
        <w:t>“</w:t>
      </w:r>
      <w:r>
        <w:rPr>
          <w:rFonts w:ascii="华文中宋" w:hAnsi="华文中宋" w:eastAsia="华文中宋"/>
          <w:b/>
          <w:sz w:val="44"/>
          <w:szCs w:val="36"/>
        </w:rPr>
        <w:t>读懂中国</w:t>
      </w:r>
      <w:r>
        <w:rPr>
          <w:rFonts w:hint="eastAsia" w:ascii="华文中宋" w:hAnsi="华文中宋" w:eastAsia="华文中宋" w:cs="方正小标宋简体"/>
          <w:b/>
          <w:sz w:val="44"/>
          <w:szCs w:val="36"/>
        </w:rPr>
        <w:t>”</w:t>
      </w:r>
      <w:r>
        <w:rPr>
          <w:rFonts w:ascii="华文中宋" w:hAnsi="华文中宋" w:eastAsia="华文中宋"/>
          <w:b/>
          <w:sz w:val="44"/>
          <w:szCs w:val="36"/>
        </w:rPr>
        <w:t>活动推荐作品信息表</w:t>
      </w:r>
    </w:p>
    <w:p w14:paraId="6A1C508B">
      <w:pPr>
        <w:rPr>
          <w:rFonts w:eastAsia="黑体"/>
          <w:kern w:val="0"/>
        </w:rPr>
      </w:pPr>
    </w:p>
    <w:p w14:paraId="4D4598EB">
      <w:pPr>
        <w:ind w:firstLine="420" w:firstLineChars="150"/>
        <w:jc w:val="lef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填报单位：                                                       填报人及联系电话：</w:t>
      </w:r>
    </w:p>
    <w:tbl>
      <w:tblPr>
        <w:tblStyle w:val="6"/>
        <w:tblW w:w="15033" w:type="dxa"/>
        <w:jc w:val="center"/>
        <w:tblCaption w:val="Table12e1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1426"/>
        <w:gridCol w:w="2543"/>
        <w:gridCol w:w="1984"/>
        <w:gridCol w:w="1773"/>
        <w:gridCol w:w="2365"/>
        <w:gridCol w:w="1623"/>
        <w:gridCol w:w="908"/>
      </w:tblGrid>
      <w:tr w14:paraId="3F8BC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vAlign w:val="center"/>
          </w:tcPr>
          <w:p w14:paraId="08A27100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学院名称</w:t>
            </w:r>
          </w:p>
        </w:tc>
        <w:tc>
          <w:tcPr>
            <w:tcW w:w="1426" w:type="dxa"/>
            <w:vAlign w:val="center"/>
          </w:tcPr>
          <w:p w14:paraId="7E09BF51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作品类别</w:t>
            </w:r>
          </w:p>
        </w:tc>
        <w:tc>
          <w:tcPr>
            <w:tcW w:w="2543" w:type="dxa"/>
            <w:vAlign w:val="center"/>
          </w:tcPr>
          <w:p w14:paraId="0CCB8C9F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984" w:type="dxa"/>
            <w:vAlign w:val="center"/>
          </w:tcPr>
          <w:p w14:paraId="142A7CE9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受访</w:t>
            </w:r>
            <w:r>
              <w:rPr>
                <w:rFonts w:hint="eastAsia" w:eastAsia="黑体" w:cs="黑体"/>
                <w:kern w:val="0"/>
                <w:sz w:val="28"/>
                <w:szCs w:val="28"/>
              </w:rPr>
              <w:t>“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五老</w:t>
            </w:r>
            <w:r>
              <w:rPr>
                <w:rFonts w:hint="eastAsia" w:eastAsia="黑体" w:cs="黑体"/>
                <w:kern w:val="0"/>
                <w:sz w:val="28"/>
                <w:szCs w:val="28"/>
              </w:rPr>
              <w:t>”</w:t>
            </w:r>
          </w:p>
          <w:p w14:paraId="02DE7DA0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773" w:type="dxa"/>
            <w:vAlign w:val="center"/>
          </w:tcPr>
          <w:p w14:paraId="2029D20F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 w:cs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受</w:t>
            </w:r>
            <w:r>
              <w:rPr>
                <w:rFonts w:hint="eastAsia" w:eastAsia="黑体" w:cs="黑体"/>
                <w:kern w:val="0"/>
                <w:sz w:val="28"/>
                <w:szCs w:val="28"/>
              </w:rPr>
              <w:t>访“五老”</w:t>
            </w:r>
          </w:p>
          <w:p w14:paraId="19E401FE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 w:cs="黑体"/>
                <w:kern w:val="0"/>
                <w:sz w:val="28"/>
                <w:szCs w:val="28"/>
              </w:rPr>
              <w:t>出生年</w:t>
            </w:r>
            <w:r>
              <w:rPr>
                <w:rFonts w:hint="eastAsia" w:eastAsia="黑体"/>
                <w:kern w:val="0"/>
                <w:sz w:val="28"/>
                <w:szCs w:val="28"/>
              </w:rPr>
              <w:t>月</w:t>
            </w:r>
          </w:p>
        </w:tc>
        <w:tc>
          <w:tcPr>
            <w:tcW w:w="2365" w:type="dxa"/>
            <w:vAlign w:val="center"/>
          </w:tcPr>
          <w:p w14:paraId="520807A3">
            <w:pPr>
              <w:widowControl/>
              <w:adjustRightInd w:val="0"/>
              <w:snapToGrid w:val="0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作者（电话）</w:t>
            </w:r>
          </w:p>
        </w:tc>
        <w:tc>
          <w:tcPr>
            <w:tcW w:w="1623" w:type="dxa"/>
            <w:vAlign w:val="center"/>
          </w:tcPr>
          <w:p w14:paraId="5F69F535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908" w:type="dxa"/>
            <w:vAlign w:val="center"/>
          </w:tcPr>
          <w:p w14:paraId="7925D5F6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备注</w:t>
            </w:r>
          </w:p>
        </w:tc>
      </w:tr>
      <w:tr w14:paraId="62232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11" w:type="dxa"/>
          </w:tcPr>
          <w:p w14:paraId="58110F03">
            <w:pPr>
              <w:rPr>
                <w:bCs/>
                <w:sz w:val="28"/>
                <w:szCs w:val="28"/>
              </w:rPr>
            </w:pPr>
          </w:p>
        </w:tc>
        <w:tc>
          <w:tcPr>
            <w:tcW w:w="1426" w:type="dxa"/>
          </w:tcPr>
          <w:p w14:paraId="692FE191">
            <w:pPr>
              <w:rPr>
                <w:bCs/>
                <w:sz w:val="28"/>
                <w:szCs w:val="28"/>
              </w:rPr>
            </w:pPr>
          </w:p>
        </w:tc>
        <w:tc>
          <w:tcPr>
            <w:tcW w:w="2543" w:type="dxa"/>
          </w:tcPr>
          <w:p w14:paraId="6705F5E4">
            <w:pPr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62535D87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3" w:type="dxa"/>
          </w:tcPr>
          <w:p w14:paraId="76005098">
            <w:pPr>
              <w:rPr>
                <w:bCs/>
                <w:sz w:val="28"/>
                <w:szCs w:val="28"/>
              </w:rPr>
            </w:pPr>
          </w:p>
        </w:tc>
        <w:tc>
          <w:tcPr>
            <w:tcW w:w="2365" w:type="dxa"/>
          </w:tcPr>
          <w:p w14:paraId="63DD8533">
            <w:pPr>
              <w:rPr>
                <w:bCs/>
                <w:sz w:val="28"/>
                <w:szCs w:val="28"/>
              </w:rPr>
            </w:pPr>
          </w:p>
        </w:tc>
        <w:tc>
          <w:tcPr>
            <w:tcW w:w="1623" w:type="dxa"/>
          </w:tcPr>
          <w:p w14:paraId="74CB2D81">
            <w:pPr>
              <w:rPr>
                <w:bCs/>
                <w:sz w:val="28"/>
                <w:szCs w:val="28"/>
              </w:rPr>
            </w:pPr>
          </w:p>
        </w:tc>
        <w:tc>
          <w:tcPr>
            <w:tcW w:w="908" w:type="dxa"/>
          </w:tcPr>
          <w:p w14:paraId="0C3348A4">
            <w:pPr>
              <w:rPr>
                <w:bCs/>
                <w:sz w:val="28"/>
                <w:szCs w:val="28"/>
              </w:rPr>
            </w:pPr>
          </w:p>
        </w:tc>
      </w:tr>
      <w:tr w14:paraId="53D69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11" w:type="dxa"/>
          </w:tcPr>
          <w:p w14:paraId="62017EF5">
            <w:pPr>
              <w:rPr>
                <w:bCs/>
                <w:sz w:val="28"/>
                <w:szCs w:val="28"/>
              </w:rPr>
            </w:pPr>
          </w:p>
        </w:tc>
        <w:tc>
          <w:tcPr>
            <w:tcW w:w="1426" w:type="dxa"/>
          </w:tcPr>
          <w:p w14:paraId="4454C7D0">
            <w:pPr>
              <w:rPr>
                <w:bCs/>
                <w:sz w:val="28"/>
                <w:szCs w:val="28"/>
              </w:rPr>
            </w:pPr>
          </w:p>
        </w:tc>
        <w:tc>
          <w:tcPr>
            <w:tcW w:w="2543" w:type="dxa"/>
          </w:tcPr>
          <w:p w14:paraId="6F5F5DEE">
            <w:pPr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11FC9619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3" w:type="dxa"/>
          </w:tcPr>
          <w:p w14:paraId="0D07619F">
            <w:pPr>
              <w:rPr>
                <w:bCs/>
                <w:sz w:val="28"/>
                <w:szCs w:val="28"/>
              </w:rPr>
            </w:pPr>
          </w:p>
        </w:tc>
        <w:tc>
          <w:tcPr>
            <w:tcW w:w="2365" w:type="dxa"/>
          </w:tcPr>
          <w:p w14:paraId="3FFBD6B8">
            <w:pPr>
              <w:rPr>
                <w:bCs/>
                <w:sz w:val="28"/>
                <w:szCs w:val="28"/>
              </w:rPr>
            </w:pPr>
          </w:p>
        </w:tc>
        <w:tc>
          <w:tcPr>
            <w:tcW w:w="1623" w:type="dxa"/>
          </w:tcPr>
          <w:p w14:paraId="6CF482C5">
            <w:pPr>
              <w:rPr>
                <w:bCs/>
                <w:sz w:val="28"/>
                <w:szCs w:val="28"/>
              </w:rPr>
            </w:pPr>
          </w:p>
        </w:tc>
        <w:tc>
          <w:tcPr>
            <w:tcW w:w="908" w:type="dxa"/>
          </w:tcPr>
          <w:p w14:paraId="000A52FE">
            <w:pPr>
              <w:rPr>
                <w:bCs/>
                <w:sz w:val="28"/>
                <w:szCs w:val="28"/>
              </w:rPr>
            </w:pPr>
          </w:p>
        </w:tc>
      </w:tr>
      <w:tr w14:paraId="7BF83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11" w:type="dxa"/>
          </w:tcPr>
          <w:p w14:paraId="45EB2E4A">
            <w:pPr>
              <w:rPr>
                <w:bCs/>
                <w:sz w:val="28"/>
                <w:szCs w:val="28"/>
              </w:rPr>
            </w:pPr>
          </w:p>
        </w:tc>
        <w:tc>
          <w:tcPr>
            <w:tcW w:w="1426" w:type="dxa"/>
          </w:tcPr>
          <w:p w14:paraId="0140DE3F">
            <w:pPr>
              <w:rPr>
                <w:bCs/>
                <w:sz w:val="28"/>
                <w:szCs w:val="28"/>
              </w:rPr>
            </w:pPr>
          </w:p>
        </w:tc>
        <w:tc>
          <w:tcPr>
            <w:tcW w:w="2543" w:type="dxa"/>
          </w:tcPr>
          <w:p w14:paraId="1F21BF28">
            <w:pPr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AB44C8">
            <w:pPr>
              <w:rPr>
                <w:bCs/>
                <w:sz w:val="28"/>
                <w:szCs w:val="28"/>
              </w:rPr>
            </w:pPr>
          </w:p>
        </w:tc>
        <w:tc>
          <w:tcPr>
            <w:tcW w:w="1773" w:type="dxa"/>
          </w:tcPr>
          <w:p w14:paraId="589EA737">
            <w:pPr>
              <w:rPr>
                <w:bCs/>
                <w:sz w:val="28"/>
                <w:szCs w:val="28"/>
              </w:rPr>
            </w:pPr>
          </w:p>
        </w:tc>
        <w:tc>
          <w:tcPr>
            <w:tcW w:w="2365" w:type="dxa"/>
          </w:tcPr>
          <w:p w14:paraId="2C43B9DD">
            <w:pPr>
              <w:rPr>
                <w:bCs/>
                <w:sz w:val="28"/>
                <w:szCs w:val="28"/>
              </w:rPr>
            </w:pPr>
          </w:p>
        </w:tc>
        <w:tc>
          <w:tcPr>
            <w:tcW w:w="1623" w:type="dxa"/>
          </w:tcPr>
          <w:p w14:paraId="0FBDD538">
            <w:pPr>
              <w:rPr>
                <w:bCs/>
                <w:sz w:val="28"/>
                <w:szCs w:val="28"/>
              </w:rPr>
            </w:pPr>
          </w:p>
        </w:tc>
        <w:tc>
          <w:tcPr>
            <w:tcW w:w="908" w:type="dxa"/>
          </w:tcPr>
          <w:p w14:paraId="20DF88BC">
            <w:pPr>
              <w:rPr>
                <w:bCs/>
                <w:sz w:val="28"/>
                <w:szCs w:val="28"/>
              </w:rPr>
            </w:pPr>
          </w:p>
        </w:tc>
      </w:tr>
    </w:tbl>
    <w:p w14:paraId="05CA4C1C">
      <w:pPr>
        <w:jc w:val="left"/>
        <w:rPr>
          <w:b/>
          <w:bCs/>
          <w:sz w:val="28"/>
          <w:szCs w:val="28"/>
        </w:rPr>
      </w:pPr>
    </w:p>
    <w:p w14:paraId="53E17527"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说明：</w:t>
      </w:r>
      <w:r>
        <w:rPr>
          <w:rFonts w:hint="eastAsia" w:ascii="仿宋_GB2312" w:eastAsia="仿宋_GB2312"/>
          <w:sz w:val="28"/>
          <w:szCs w:val="28"/>
        </w:rPr>
        <w:t>1.作品类别为征文、微视频、舞台剧，作者、指导教师请按顺序依次填写具体人员姓名。</w:t>
      </w:r>
    </w:p>
    <w:p w14:paraId="104FE852">
      <w:pPr>
        <w:ind w:firstLine="866" w:firstLineChars="308"/>
        <w:jc w:val="left"/>
        <w:rPr>
          <w:rFonts w:hint="eastAsia" w:ascii="仿宋_GB2312" w:eastAsia="仿宋_GB2312"/>
          <w:b/>
          <w:bCs/>
          <w:kern w:val="0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2.</w:t>
      </w:r>
      <w:r>
        <w:rPr>
          <w:rFonts w:hint="eastAsia" w:ascii="仿宋_GB2312" w:eastAsia="仿宋_GB2312"/>
          <w:b/>
          <w:bCs/>
          <w:kern w:val="0"/>
          <w:sz w:val="28"/>
          <w:szCs w:val="28"/>
        </w:rPr>
        <w:t>受访“五老”在作品制作时仍健在，如2026年访谈后去世，请在备注中标明。</w:t>
      </w:r>
    </w:p>
    <w:p w14:paraId="2DBD0B85">
      <w:pPr>
        <w:widowControl/>
        <w:jc w:val="left"/>
        <w:rPr>
          <w:b/>
          <w:bCs/>
          <w:kern w:val="0"/>
        </w:rPr>
      </w:pPr>
      <w:r>
        <w:rPr>
          <w:b/>
          <w:bCs/>
          <w:kern w:val="0"/>
        </w:rPr>
        <w:br w:type="page" w:clear="all"/>
      </w:r>
    </w:p>
    <w:p w14:paraId="7917EE37">
      <w:pPr>
        <w:pStyle w:val="5"/>
        <w:widowControl/>
        <w:spacing w:beforeAutospacing="0" w:afterAutospacing="0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 w14:paraId="6916672C">
      <w:pPr>
        <w:spacing w:line="800" w:lineRule="exact"/>
        <w:jc w:val="center"/>
        <w:rPr>
          <w:rFonts w:ascii="华文中宋" w:hAnsi="华文中宋" w:eastAsia="华文中宋"/>
          <w:b/>
          <w:sz w:val="44"/>
          <w:szCs w:val="36"/>
        </w:rPr>
      </w:pPr>
      <w:r>
        <w:rPr>
          <w:rFonts w:hint="eastAsia" w:ascii="华文中宋" w:hAnsi="华文中宋" w:eastAsia="华文中宋" w:cs="方正小标宋简体"/>
          <w:bCs/>
          <w:sz w:val="44"/>
          <w:szCs w:val="36"/>
        </w:rPr>
        <w:t>“</w:t>
      </w:r>
      <w:r>
        <w:rPr>
          <w:rFonts w:hint="eastAsia" w:ascii="华文中宋" w:hAnsi="华文中宋" w:eastAsia="华文中宋" w:cs="方正小标宋简体"/>
          <w:b/>
          <w:sz w:val="44"/>
          <w:szCs w:val="36"/>
        </w:rPr>
        <w:t>读懂中国”</w:t>
      </w:r>
      <w:r>
        <w:rPr>
          <w:rFonts w:ascii="华文中宋" w:hAnsi="华文中宋" w:eastAsia="华文中宋"/>
          <w:b/>
          <w:sz w:val="44"/>
          <w:szCs w:val="36"/>
        </w:rPr>
        <w:t>活动开展情况统计表</w:t>
      </w:r>
    </w:p>
    <w:p w14:paraId="41C7C8E0">
      <w:pPr>
        <w:rPr>
          <w:rFonts w:eastAsia="黑体"/>
          <w:kern w:val="0"/>
        </w:rPr>
      </w:pPr>
    </w:p>
    <w:p w14:paraId="5275BE2C">
      <w:pPr>
        <w:ind w:firstLine="1400" w:firstLineChars="500"/>
        <w:jc w:val="lef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填报单位：                                   填报人及联系电话：</w:t>
      </w:r>
    </w:p>
    <w:tbl>
      <w:tblPr>
        <w:tblStyle w:val="6"/>
        <w:tblW w:w="12194" w:type="dxa"/>
        <w:jc w:val="center"/>
        <w:tblCaption w:val="Table16w9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1535"/>
        <w:gridCol w:w="1473"/>
        <w:gridCol w:w="1635"/>
        <w:gridCol w:w="1358"/>
        <w:gridCol w:w="1204"/>
        <w:gridCol w:w="1512"/>
        <w:gridCol w:w="1358"/>
      </w:tblGrid>
      <w:tr w14:paraId="263AB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119" w:type="dxa"/>
            <w:vAlign w:val="center"/>
          </w:tcPr>
          <w:p w14:paraId="397A7E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学院名称</w:t>
            </w:r>
          </w:p>
        </w:tc>
        <w:tc>
          <w:tcPr>
            <w:tcW w:w="1535" w:type="dxa"/>
            <w:vAlign w:val="center"/>
          </w:tcPr>
          <w:p w14:paraId="61016C3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被采访“五老”人数</w:t>
            </w:r>
          </w:p>
        </w:tc>
        <w:tc>
          <w:tcPr>
            <w:tcW w:w="1473" w:type="dxa"/>
            <w:vAlign w:val="center"/>
          </w:tcPr>
          <w:p w14:paraId="2F031C4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主创团队学生人数</w:t>
            </w:r>
          </w:p>
        </w:tc>
        <w:tc>
          <w:tcPr>
            <w:tcW w:w="1635" w:type="dxa"/>
            <w:vAlign w:val="center"/>
          </w:tcPr>
          <w:p w14:paraId="79A828D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受益学生</w:t>
            </w:r>
          </w:p>
          <w:p w14:paraId="33623B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人数</w:t>
            </w:r>
          </w:p>
        </w:tc>
        <w:tc>
          <w:tcPr>
            <w:tcW w:w="1358" w:type="dxa"/>
            <w:vAlign w:val="center"/>
          </w:tcPr>
          <w:p w14:paraId="0E9203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征文</w:t>
            </w:r>
          </w:p>
          <w:p w14:paraId="66268F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收集数</w:t>
            </w:r>
          </w:p>
        </w:tc>
        <w:tc>
          <w:tcPr>
            <w:tcW w:w="1204" w:type="dxa"/>
            <w:vAlign w:val="center"/>
          </w:tcPr>
          <w:p w14:paraId="1DC525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微视频收集数</w:t>
            </w:r>
          </w:p>
        </w:tc>
        <w:tc>
          <w:tcPr>
            <w:tcW w:w="1512" w:type="dxa"/>
            <w:vAlign w:val="center"/>
          </w:tcPr>
          <w:p w14:paraId="1345950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舞台剧</w:t>
            </w:r>
          </w:p>
          <w:p w14:paraId="45635E2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收集数</w:t>
            </w:r>
          </w:p>
        </w:tc>
        <w:tc>
          <w:tcPr>
            <w:tcW w:w="1358" w:type="dxa"/>
            <w:vAlign w:val="center"/>
          </w:tcPr>
          <w:p w14:paraId="5FCF3D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备注</w:t>
            </w:r>
          </w:p>
        </w:tc>
      </w:tr>
      <w:tr w14:paraId="63E96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2119" w:type="dxa"/>
          </w:tcPr>
          <w:p w14:paraId="76AE342E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535" w:type="dxa"/>
          </w:tcPr>
          <w:p w14:paraId="7D23260A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473" w:type="dxa"/>
          </w:tcPr>
          <w:p w14:paraId="1385D18B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14:paraId="086C6861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</w:tcPr>
          <w:p w14:paraId="326967A8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204" w:type="dxa"/>
          </w:tcPr>
          <w:p w14:paraId="64B6D9EF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512" w:type="dxa"/>
          </w:tcPr>
          <w:p w14:paraId="0BB0B8EE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</w:tcPr>
          <w:p w14:paraId="70CE66E0"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 w14:paraId="46EEA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2119" w:type="dxa"/>
          </w:tcPr>
          <w:p w14:paraId="287D3CAC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535" w:type="dxa"/>
          </w:tcPr>
          <w:p w14:paraId="6F3F2573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473" w:type="dxa"/>
          </w:tcPr>
          <w:p w14:paraId="474C94B9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14:paraId="44255C53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</w:tcPr>
          <w:p w14:paraId="6BA86734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204" w:type="dxa"/>
          </w:tcPr>
          <w:p w14:paraId="4919E69D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512" w:type="dxa"/>
          </w:tcPr>
          <w:p w14:paraId="330F6E91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</w:tcPr>
          <w:p w14:paraId="1836E4A1"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  <w:tr w14:paraId="609B2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119" w:type="dxa"/>
          </w:tcPr>
          <w:p w14:paraId="4EDFA125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535" w:type="dxa"/>
          </w:tcPr>
          <w:p w14:paraId="19491254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473" w:type="dxa"/>
          </w:tcPr>
          <w:p w14:paraId="390DDFBA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635" w:type="dxa"/>
          </w:tcPr>
          <w:p w14:paraId="3DAEDADE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</w:tcPr>
          <w:p w14:paraId="5E851BB7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204" w:type="dxa"/>
          </w:tcPr>
          <w:p w14:paraId="2FC6B2AB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512" w:type="dxa"/>
          </w:tcPr>
          <w:p w14:paraId="735A622E">
            <w:pPr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</w:tcPr>
          <w:p w14:paraId="2E3E737F">
            <w:pPr>
              <w:rPr>
                <w:rFonts w:ascii="仿宋_GB2312"/>
                <w:bCs/>
                <w:sz w:val="28"/>
                <w:szCs w:val="28"/>
              </w:rPr>
            </w:pPr>
          </w:p>
        </w:tc>
      </w:tr>
    </w:tbl>
    <w:p w14:paraId="2F38E351">
      <w:pPr>
        <w:ind w:left="843" w:hanging="843" w:hangingChars="300"/>
        <w:rPr>
          <w:rFonts w:ascii="仿宋_GB2312"/>
          <w:b/>
          <w:bCs/>
          <w:sz w:val="28"/>
          <w:szCs w:val="28"/>
        </w:rPr>
      </w:pPr>
    </w:p>
    <w:p w14:paraId="34EE364A">
      <w:pPr>
        <w:ind w:left="843" w:hanging="843" w:hangingChars="3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说明：</w:t>
      </w:r>
      <w:r>
        <w:rPr>
          <w:rFonts w:hint="eastAsia" w:ascii="仿宋_GB2312" w:eastAsia="仿宋_GB2312"/>
          <w:sz w:val="28"/>
          <w:szCs w:val="28"/>
        </w:rPr>
        <w:t>1.主创团队学生指实际参与作品创作的学生，受益学生指通过活动受到教育和影响的学生。</w:t>
      </w:r>
    </w:p>
    <w:p w14:paraId="23EF71BC">
      <w:pPr>
        <w:ind w:firstLine="866" w:firstLineChars="308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2.开展学校如为民办高校、职业院校，请在备注中标明。</w:t>
      </w:r>
    </w:p>
    <w:p w14:paraId="3E36E776"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KSOF8235D1FC">
    <w:panose1 w:val="020B07030202040202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490DC">
    <w:pPr>
      <w:pStyle w:val="3"/>
      <w:framePr w:wrap="around" w:vAnchor="text" w:hAnchor="margin" w:xAlign="outside" w:y="1"/>
      <w:ind w:left="210" w:leftChars="100" w:right="210" w:rightChars="100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hint="eastAsia" w:ascii="宋体" w:hAnsi="宋体" w:eastAsia="宋体"/>
        <w:sz w:val="28"/>
        <w:szCs w:val="28"/>
      </w:rPr>
      <w:t xml:space="preserve">— </w:t>
    </w:r>
    <w:r>
      <w:rPr>
        <w:rStyle w:val="8"/>
        <w:rFonts w:hint="eastAsia" w:ascii="宋体" w:hAnsi="宋体" w:eastAsia="宋体"/>
        <w:sz w:val="28"/>
        <w:szCs w:val="28"/>
      </w:rPr>
      <w:fldChar w:fldCharType="begin"/>
    </w:r>
    <w:r>
      <w:rPr>
        <w:rStyle w:val="8"/>
        <w:rFonts w:hint="eastAsia" w:ascii="宋体" w:hAnsi="宋体" w:eastAsia="宋体"/>
        <w:sz w:val="28"/>
        <w:szCs w:val="28"/>
      </w:rPr>
      <w:instrText xml:space="preserve">PAGE  </w:instrText>
    </w:r>
    <w:r>
      <w:rPr>
        <w:rStyle w:val="8"/>
        <w:rFonts w:hint="eastAsia"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3</w:t>
    </w:r>
    <w:r>
      <w:rPr>
        <w:rStyle w:val="8"/>
        <w:rFonts w:hint="eastAsia"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 w14:paraId="109B4E47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6AC4E">
    <w:pPr>
      <w:pStyle w:val="3"/>
      <w:framePr w:wrap="around" w:vAnchor="text" w:hAnchor="margin" w:xAlign="outside" w:y="1"/>
      <w:ind w:left="210" w:leftChars="100" w:right="210" w:rightChars="100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hint="eastAsia" w:ascii="宋体" w:hAnsi="宋体" w:eastAsia="宋体"/>
        <w:sz w:val="28"/>
        <w:szCs w:val="28"/>
      </w:rPr>
      <w:t xml:space="preserve">— </w:t>
    </w:r>
    <w:r>
      <w:rPr>
        <w:rStyle w:val="8"/>
        <w:rFonts w:hint="eastAsia" w:ascii="宋体" w:hAnsi="宋体" w:eastAsia="宋体"/>
        <w:sz w:val="28"/>
        <w:szCs w:val="28"/>
      </w:rPr>
      <w:fldChar w:fldCharType="begin"/>
    </w:r>
    <w:r>
      <w:rPr>
        <w:rStyle w:val="8"/>
        <w:rFonts w:hint="eastAsia" w:ascii="宋体" w:hAnsi="宋体" w:eastAsia="宋体"/>
        <w:sz w:val="28"/>
        <w:szCs w:val="28"/>
      </w:rPr>
      <w:instrText xml:space="preserve">PAGE  </w:instrText>
    </w:r>
    <w:r>
      <w:rPr>
        <w:rStyle w:val="8"/>
        <w:rFonts w:hint="eastAsia"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2</w:t>
    </w:r>
    <w:r>
      <w:rPr>
        <w:rStyle w:val="8"/>
        <w:rFonts w:hint="eastAsia"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 w14:paraId="7B0DA97E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C44BA">
    <w:pPr>
      <w:pStyle w:val="3"/>
      <w:framePr w:wrap="around" w:vAnchor="text" w:hAnchor="margin" w:xAlign="outside" w:y="1"/>
      <w:ind w:left="210" w:leftChars="100" w:right="210" w:rightChars="100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hint="eastAsia" w:ascii="宋体" w:hAnsi="宋体" w:eastAsia="宋体"/>
        <w:sz w:val="28"/>
        <w:szCs w:val="28"/>
      </w:rPr>
      <w:t xml:space="preserve">— </w:t>
    </w:r>
    <w:r>
      <w:rPr>
        <w:rStyle w:val="8"/>
        <w:rFonts w:hint="eastAsia" w:ascii="宋体" w:hAnsi="宋体" w:eastAsia="宋体"/>
        <w:sz w:val="28"/>
        <w:szCs w:val="28"/>
      </w:rPr>
      <w:fldChar w:fldCharType="begin"/>
    </w:r>
    <w:r>
      <w:rPr>
        <w:rStyle w:val="8"/>
        <w:rFonts w:hint="eastAsia" w:ascii="宋体" w:hAnsi="宋体" w:eastAsia="宋体"/>
        <w:sz w:val="28"/>
        <w:szCs w:val="28"/>
      </w:rPr>
      <w:instrText xml:space="preserve">PAGE  </w:instrText>
    </w:r>
    <w:r>
      <w:rPr>
        <w:rStyle w:val="8"/>
        <w:rFonts w:hint="eastAsia"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3</w:t>
    </w:r>
    <w:r>
      <w:rPr>
        <w:rStyle w:val="8"/>
        <w:rFonts w:hint="eastAsia"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 w14:paraId="48882F5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A1988"/>
    <w:rsid w:val="000810B0"/>
    <w:rsid w:val="00092FD2"/>
    <w:rsid w:val="001677B7"/>
    <w:rsid w:val="00180889"/>
    <w:rsid w:val="001B21BB"/>
    <w:rsid w:val="00297083"/>
    <w:rsid w:val="002A35E5"/>
    <w:rsid w:val="002F49D8"/>
    <w:rsid w:val="003444A3"/>
    <w:rsid w:val="00394E10"/>
    <w:rsid w:val="003F76CE"/>
    <w:rsid w:val="004E5C7F"/>
    <w:rsid w:val="004E6709"/>
    <w:rsid w:val="00595385"/>
    <w:rsid w:val="005E6069"/>
    <w:rsid w:val="005F3F09"/>
    <w:rsid w:val="007079C7"/>
    <w:rsid w:val="007D69CA"/>
    <w:rsid w:val="00811B93"/>
    <w:rsid w:val="00822169"/>
    <w:rsid w:val="00836452"/>
    <w:rsid w:val="00956E7A"/>
    <w:rsid w:val="00A24890"/>
    <w:rsid w:val="00A24C84"/>
    <w:rsid w:val="00A84B25"/>
    <w:rsid w:val="00AF3CF2"/>
    <w:rsid w:val="00B824CF"/>
    <w:rsid w:val="00BB673A"/>
    <w:rsid w:val="00BE333A"/>
    <w:rsid w:val="00CA209D"/>
    <w:rsid w:val="00D074E3"/>
    <w:rsid w:val="00D63AC6"/>
    <w:rsid w:val="00D647D9"/>
    <w:rsid w:val="00DF0104"/>
    <w:rsid w:val="00E203A1"/>
    <w:rsid w:val="00E47B5B"/>
    <w:rsid w:val="00E82E81"/>
    <w:rsid w:val="00F605A0"/>
    <w:rsid w:val="00F75981"/>
    <w:rsid w:val="01334530"/>
    <w:rsid w:val="306723D1"/>
    <w:rsid w:val="4ACA1988"/>
    <w:rsid w:val="5B9C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  <w:szCs w:val="22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unhideWhenUsed/>
    <w:qFormat/>
    <w:uiPriority w:val="99"/>
  </w:style>
  <w:style w:type="character" w:styleId="9">
    <w:name w:val="Hyperlink"/>
    <w:basedOn w:val="7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4959</Words>
  <Characters>5142</Characters>
  <Lines>40</Lines>
  <Paragraphs>11</Paragraphs>
  <TotalTime>422</TotalTime>
  <ScaleCrop>false</ScaleCrop>
  <LinksUpToDate>false</LinksUpToDate>
  <CharactersWithSpaces>5211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2026-03-19T09:20:00Z</dcterms:created>
  <dc:creator>晨月</dc:creator>
  <cp:lastModifiedBy>霜</cp:lastModifiedBy>
  <dcterms:modified xsi:type="dcterms:W3CDTF">2026-04-01T13:54:09Z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C3A16C6073DE4728BC917F628FDDDEE2_11</vt:lpwstr>
  </property>
  <property fmtid="{D5CDD505-2E9C-101B-9397-08002B2CF9AE}" pid="4" name="KSOTemplateDocerSaveRecord">
    <vt:lpwstr>eyJoZGlkIjoiMGE4ZTA0MGE1ODZlYzAzMWJkMWJmYTgwOWU0NTgxOWMiLCJ1c2VySWQiOiI1MDk1MTM3NzAifQ==</vt:lpwstr>
  </property>
</Properties>
</file>